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7989E"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PI与SUB-l的</w:t>
      </w:r>
      <w:bookmarkStart w:id="0" w:name="_GoBack"/>
      <w:bookmarkEnd w:id="0"/>
      <w:r>
        <w:rPr>
          <w:rFonts w:hint="eastAsia"/>
          <w:color w:val="FF0000"/>
          <w:sz w:val="28"/>
          <w:szCs w:val="36"/>
          <w:lang w:val="en-US" w:eastAsia="zh-CN"/>
        </w:rPr>
        <w:t>国家局高研院GCP证书时限需在3年内。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fci wne:fciName="FillColorPicker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83E0A"/>
    <w:rsid w:val="2C0C3D4C"/>
    <w:rsid w:val="4E0D199A"/>
    <w:rsid w:val="6689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2024-12-03T01:21:00Z</dcterms:created>
  <dc:creator>Admin</dc:creator>
  <cp:lastModifiedBy>DMU王宇</cp:lastModifiedBy>
  <dcterms:modified xsi:type="dcterms:W3CDTF">2025-05-14T01:12:17Z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619D5FA039574AEDB32D8919AE77EC01_12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